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CC" w:rsidRDefault="00C11CCC" w:rsidP="001B3E06">
      <w:pPr>
        <w:adjustRightInd w:val="0"/>
        <w:snapToGrid w:val="0"/>
        <w:spacing w:line="360" w:lineRule="auto"/>
        <w:rPr>
          <w:b/>
          <w:kern w:val="44"/>
          <w:sz w:val="32"/>
        </w:rPr>
      </w:pPr>
      <w:r>
        <w:rPr>
          <w:rFonts w:hint="eastAsia"/>
          <w:b/>
          <w:kern w:val="44"/>
          <w:sz w:val="32"/>
        </w:rPr>
        <w:t>S</w:t>
      </w:r>
      <w:r>
        <w:rPr>
          <w:b/>
          <w:kern w:val="44"/>
          <w:sz w:val="32"/>
        </w:rPr>
        <w:t xml:space="preserve">upplementary Materials </w:t>
      </w:r>
    </w:p>
    <w:p w:rsidR="00C11CCC" w:rsidRDefault="00C11CCC" w:rsidP="001B3E06">
      <w:pPr>
        <w:adjustRightInd w:val="0"/>
        <w:snapToGrid w:val="0"/>
        <w:spacing w:line="360" w:lineRule="auto"/>
        <w:rPr>
          <w:b/>
          <w:kern w:val="44"/>
          <w:sz w:val="32"/>
        </w:rPr>
      </w:pPr>
      <w:proofErr w:type="spellStart"/>
      <w:r>
        <w:rPr>
          <w:b/>
          <w:kern w:val="44"/>
          <w:sz w:val="32"/>
        </w:rPr>
        <w:t>Virologica</w:t>
      </w:r>
      <w:proofErr w:type="spellEnd"/>
      <w:r>
        <w:rPr>
          <w:b/>
          <w:kern w:val="44"/>
          <w:sz w:val="32"/>
        </w:rPr>
        <w:t xml:space="preserve"> </w:t>
      </w:r>
      <w:proofErr w:type="spellStart"/>
      <w:r>
        <w:rPr>
          <w:b/>
          <w:kern w:val="44"/>
          <w:sz w:val="32"/>
        </w:rPr>
        <w:t>Sinica</w:t>
      </w:r>
      <w:proofErr w:type="spellEnd"/>
    </w:p>
    <w:p w:rsidR="00C11CCC" w:rsidRPr="00C11CCC" w:rsidRDefault="00C11CCC" w:rsidP="001B3E06">
      <w:pPr>
        <w:adjustRightInd w:val="0"/>
        <w:snapToGrid w:val="0"/>
        <w:spacing w:line="360" w:lineRule="auto"/>
        <w:rPr>
          <w:rFonts w:hint="eastAsia"/>
          <w:b/>
          <w:kern w:val="44"/>
          <w:sz w:val="32"/>
        </w:rPr>
      </w:pPr>
    </w:p>
    <w:p w:rsidR="001B3E06" w:rsidRPr="00CD0F03" w:rsidRDefault="001B3E06" w:rsidP="001B3E06">
      <w:pPr>
        <w:adjustRightInd w:val="0"/>
        <w:snapToGrid w:val="0"/>
        <w:spacing w:line="360" w:lineRule="auto"/>
        <w:rPr>
          <w:rFonts w:eastAsia="Times New Roman"/>
          <w:b/>
          <w:kern w:val="44"/>
          <w:sz w:val="32"/>
        </w:rPr>
      </w:pPr>
      <w:r w:rsidRPr="00CD0F03">
        <w:rPr>
          <w:rFonts w:eastAsia="Times New Roman"/>
          <w:b/>
          <w:kern w:val="44"/>
          <w:sz w:val="32"/>
        </w:rPr>
        <w:t>Structural and functional insights into the 2'-O-methyltransferase of SARS-CoV-2</w:t>
      </w:r>
    </w:p>
    <w:p w:rsidR="001B3E06" w:rsidRPr="00CD0F03" w:rsidRDefault="001B3E06" w:rsidP="001B3E06">
      <w:pPr>
        <w:adjustRightInd w:val="0"/>
        <w:snapToGrid w:val="0"/>
        <w:spacing w:line="360" w:lineRule="auto"/>
        <w:rPr>
          <w:rFonts w:eastAsia="Times New Roman"/>
          <w:b/>
          <w:kern w:val="44"/>
          <w:sz w:val="22"/>
        </w:rPr>
      </w:pPr>
    </w:p>
    <w:p w:rsidR="001B3E06" w:rsidRPr="00CD0F03" w:rsidRDefault="001B3E06" w:rsidP="001B3E06">
      <w:pPr>
        <w:adjustRightInd w:val="0"/>
        <w:snapToGrid w:val="0"/>
        <w:spacing w:line="360" w:lineRule="auto"/>
        <w:rPr>
          <w:sz w:val="22"/>
        </w:rPr>
      </w:pPr>
      <w:bookmarkStart w:id="0" w:name="_Hlk149745099"/>
      <w:proofErr w:type="spellStart"/>
      <w:r w:rsidRPr="00CD0F03">
        <w:rPr>
          <w:sz w:val="22"/>
        </w:rPr>
        <w:t>Jikai</w:t>
      </w:r>
      <w:proofErr w:type="spellEnd"/>
      <w:r w:rsidRPr="00CD0F03">
        <w:rPr>
          <w:sz w:val="22"/>
        </w:rPr>
        <w:t xml:space="preserve"> Deng </w:t>
      </w:r>
      <w:r w:rsidRPr="00CD0F03">
        <w:rPr>
          <w:sz w:val="22"/>
          <w:vertAlign w:val="superscript"/>
        </w:rPr>
        <w:t>a, 1</w:t>
      </w:r>
      <w:r w:rsidRPr="00CD0F03">
        <w:rPr>
          <w:sz w:val="22"/>
        </w:rPr>
        <w:t>,</w:t>
      </w:r>
      <w:bookmarkStart w:id="1" w:name="OLE_LINK45"/>
      <w:r w:rsidRPr="00CD0F03">
        <w:rPr>
          <w:sz w:val="22"/>
        </w:rPr>
        <w:t xml:space="preserve"> </w:t>
      </w:r>
      <w:bookmarkEnd w:id="1"/>
      <w:proofErr w:type="spellStart"/>
      <w:r w:rsidRPr="00CD0F03">
        <w:rPr>
          <w:sz w:val="22"/>
        </w:rPr>
        <w:t>Feiyu</w:t>
      </w:r>
      <w:proofErr w:type="spellEnd"/>
      <w:r w:rsidRPr="00CD0F03">
        <w:rPr>
          <w:sz w:val="22"/>
        </w:rPr>
        <w:t xml:space="preserve"> Gong </w:t>
      </w:r>
      <w:r w:rsidRPr="00CD0F03">
        <w:rPr>
          <w:sz w:val="22"/>
          <w:vertAlign w:val="superscript"/>
        </w:rPr>
        <w:t>a, 1</w:t>
      </w:r>
      <w:r w:rsidRPr="00CD0F03">
        <w:rPr>
          <w:sz w:val="22"/>
        </w:rPr>
        <w:t xml:space="preserve">, </w:t>
      </w:r>
      <w:proofErr w:type="spellStart"/>
      <w:r w:rsidRPr="00CD0F03">
        <w:rPr>
          <w:sz w:val="22"/>
        </w:rPr>
        <w:t>Yingjian</w:t>
      </w:r>
      <w:proofErr w:type="spellEnd"/>
      <w:r w:rsidRPr="00CD0F03">
        <w:rPr>
          <w:sz w:val="22"/>
        </w:rPr>
        <w:t xml:space="preserve"> Li</w:t>
      </w:r>
      <w:r w:rsidRPr="00CD0F03">
        <w:rPr>
          <w:sz w:val="22"/>
          <w:vertAlign w:val="superscript"/>
        </w:rPr>
        <w:t xml:space="preserve"> a</w:t>
      </w:r>
      <w:r w:rsidRPr="00CD0F03">
        <w:rPr>
          <w:sz w:val="22"/>
        </w:rPr>
        <w:t xml:space="preserve">, </w:t>
      </w:r>
      <w:proofErr w:type="spellStart"/>
      <w:r w:rsidRPr="00CD0F03">
        <w:rPr>
          <w:sz w:val="22"/>
        </w:rPr>
        <w:t>Xue</w:t>
      </w:r>
      <w:proofErr w:type="spellEnd"/>
      <w:r w:rsidRPr="00CD0F03">
        <w:rPr>
          <w:sz w:val="22"/>
        </w:rPr>
        <w:t xml:space="preserve"> Tan</w:t>
      </w:r>
      <w:r w:rsidRPr="00CD0F03">
        <w:rPr>
          <w:sz w:val="22"/>
          <w:vertAlign w:val="superscript"/>
        </w:rPr>
        <w:t xml:space="preserve"> a</w:t>
      </w:r>
      <w:r w:rsidRPr="00CD0F03">
        <w:rPr>
          <w:sz w:val="22"/>
        </w:rPr>
        <w:t xml:space="preserve">, </w:t>
      </w:r>
      <w:proofErr w:type="spellStart"/>
      <w:r w:rsidRPr="00CD0F03">
        <w:rPr>
          <w:sz w:val="22"/>
        </w:rPr>
        <w:t>Xuemei</w:t>
      </w:r>
      <w:proofErr w:type="spellEnd"/>
      <w:r w:rsidRPr="00CD0F03">
        <w:rPr>
          <w:sz w:val="22"/>
        </w:rPr>
        <w:t xml:space="preserve"> Liu</w:t>
      </w:r>
      <w:r w:rsidRPr="00CD0F03">
        <w:rPr>
          <w:sz w:val="22"/>
          <w:vertAlign w:val="superscript"/>
        </w:rPr>
        <w:t xml:space="preserve"> a</w:t>
      </w:r>
      <w:r w:rsidRPr="00CD0F03">
        <w:rPr>
          <w:sz w:val="22"/>
        </w:rPr>
        <w:t xml:space="preserve">, </w:t>
      </w:r>
      <w:proofErr w:type="spellStart"/>
      <w:r w:rsidRPr="00CD0F03">
        <w:rPr>
          <w:sz w:val="22"/>
        </w:rPr>
        <w:t>Shimin</w:t>
      </w:r>
      <w:proofErr w:type="spellEnd"/>
      <w:r w:rsidRPr="00CD0F03">
        <w:rPr>
          <w:sz w:val="22"/>
        </w:rPr>
        <w:t xml:space="preserve"> Yang</w:t>
      </w:r>
      <w:r w:rsidRPr="00CD0F03">
        <w:rPr>
          <w:sz w:val="22"/>
          <w:vertAlign w:val="superscript"/>
        </w:rPr>
        <w:t xml:space="preserve"> a</w:t>
      </w:r>
      <w:r w:rsidRPr="00CD0F03">
        <w:rPr>
          <w:sz w:val="22"/>
        </w:rPr>
        <w:t xml:space="preserve">, </w:t>
      </w:r>
      <w:proofErr w:type="spellStart"/>
      <w:r w:rsidRPr="00CD0F03">
        <w:rPr>
          <w:sz w:val="22"/>
        </w:rPr>
        <w:t>Xianying</w:t>
      </w:r>
      <w:proofErr w:type="spellEnd"/>
      <w:r w:rsidRPr="00CD0F03">
        <w:rPr>
          <w:sz w:val="22"/>
        </w:rPr>
        <w:t xml:space="preserve"> Ch</w:t>
      </w:r>
      <w:bookmarkStart w:id="2" w:name="_GoBack"/>
      <w:bookmarkEnd w:id="2"/>
      <w:r w:rsidRPr="00CD0F03">
        <w:rPr>
          <w:sz w:val="22"/>
        </w:rPr>
        <w:t>en</w:t>
      </w:r>
      <w:r w:rsidRPr="00CD0F03">
        <w:rPr>
          <w:sz w:val="22"/>
          <w:vertAlign w:val="superscript"/>
        </w:rPr>
        <w:t xml:space="preserve"> a</w:t>
      </w:r>
      <w:r w:rsidRPr="00CD0F03">
        <w:rPr>
          <w:sz w:val="22"/>
        </w:rPr>
        <w:t xml:space="preserve">, </w:t>
      </w:r>
      <w:proofErr w:type="spellStart"/>
      <w:r w:rsidRPr="00CD0F03">
        <w:rPr>
          <w:sz w:val="22"/>
        </w:rPr>
        <w:t>Hongyun</w:t>
      </w:r>
      <w:proofErr w:type="spellEnd"/>
      <w:r w:rsidRPr="00CD0F03">
        <w:rPr>
          <w:sz w:val="22"/>
        </w:rPr>
        <w:t xml:space="preserve"> Wang</w:t>
      </w:r>
      <w:r w:rsidRPr="00CD0F03">
        <w:rPr>
          <w:sz w:val="22"/>
          <w:vertAlign w:val="superscript"/>
        </w:rPr>
        <w:t xml:space="preserve"> a</w:t>
      </w:r>
      <w:r w:rsidRPr="00CD0F03">
        <w:rPr>
          <w:sz w:val="22"/>
        </w:rPr>
        <w:t xml:space="preserve">, </w:t>
      </w:r>
      <w:proofErr w:type="spellStart"/>
      <w:r w:rsidRPr="00CD0F03">
        <w:rPr>
          <w:sz w:val="22"/>
        </w:rPr>
        <w:t>Qianyun</w:t>
      </w:r>
      <w:proofErr w:type="spellEnd"/>
      <w:r w:rsidRPr="00CD0F03">
        <w:rPr>
          <w:sz w:val="22"/>
        </w:rPr>
        <w:t xml:space="preserve"> Liu</w:t>
      </w:r>
      <w:r w:rsidRPr="00CD0F03">
        <w:rPr>
          <w:sz w:val="22"/>
          <w:vertAlign w:val="superscript"/>
        </w:rPr>
        <w:t xml:space="preserve"> a</w:t>
      </w:r>
      <w:r w:rsidRPr="00CD0F03">
        <w:rPr>
          <w:sz w:val="22"/>
        </w:rPr>
        <w:t>, Chao Shen</w:t>
      </w:r>
      <w:r w:rsidRPr="00CD0F03">
        <w:rPr>
          <w:sz w:val="22"/>
          <w:vertAlign w:val="superscript"/>
        </w:rPr>
        <w:t xml:space="preserve"> a</w:t>
      </w:r>
      <w:r w:rsidRPr="00CD0F03">
        <w:rPr>
          <w:sz w:val="22"/>
        </w:rPr>
        <w:t>, Li Zhou</w:t>
      </w:r>
      <w:r w:rsidRPr="00CD0F03">
        <w:rPr>
          <w:sz w:val="22"/>
          <w:vertAlign w:val="superscript"/>
        </w:rPr>
        <w:t xml:space="preserve"> a, b</w:t>
      </w:r>
      <w:r w:rsidRPr="00CD0F03">
        <w:rPr>
          <w:sz w:val="22"/>
        </w:rPr>
        <w:t>, Yu Chen</w:t>
      </w:r>
      <w:r w:rsidRPr="00CD0F03">
        <w:rPr>
          <w:sz w:val="22"/>
          <w:vertAlign w:val="superscript"/>
        </w:rPr>
        <w:t xml:space="preserve"> a, b, </w:t>
      </w:r>
      <w:r w:rsidRPr="00CD0F03">
        <w:rPr>
          <w:sz w:val="22"/>
        </w:rPr>
        <w:t>*</w:t>
      </w:r>
    </w:p>
    <w:p w:rsidR="001B3E06" w:rsidRPr="00CD0F03" w:rsidRDefault="001B3E06" w:rsidP="001B3E06">
      <w:pPr>
        <w:adjustRightInd w:val="0"/>
        <w:snapToGrid w:val="0"/>
        <w:spacing w:line="360" w:lineRule="auto"/>
        <w:rPr>
          <w:sz w:val="22"/>
          <w:vertAlign w:val="superscript"/>
        </w:rPr>
      </w:pPr>
      <w:bookmarkStart w:id="3" w:name="_Hlk149745217"/>
      <w:bookmarkEnd w:id="0"/>
    </w:p>
    <w:p w:rsidR="001B3E06" w:rsidRPr="00CD0F03" w:rsidRDefault="001B3E06" w:rsidP="001B3E06">
      <w:pPr>
        <w:adjustRightInd w:val="0"/>
        <w:snapToGrid w:val="0"/>
        <w:spacing w:line="360" w:lineRule="auto"/>
        <w:rPr>
          <w:sz w:val="22"/>
        </w:rPr>
      </w:pPr>
      <w:bookmarkStart w:id="4" w:name="_Hlk151037526"/>
      <w:r w:rsidRPr="00CD0F03">
        <w:rPr>
          <w:sz w:val="22"/>
          <w:vertAlign w:val="superscript"/>
        </w:rPr>
        <w:t>a</w:t>
      </w:r>
      <w:bookmarkStart w:id="5" w:name="OLE_LINK12"/>
      <w:r w:rsidRPr="00CD0F03">
        <w:rPr>
          <w:sz w:val="22"/>
          <w:vertAlign w:val="superscript"/>
        </w:rPr>
        <w:t xml:space="preserve"> </w:t>
      </w:r>
      <w:r w:rsidRPr="00CD0F03">
        <w:rPr>
          <w:sz w:val="22"/>
        </w:rPr>
        <w:t>State Key Laboratory of Virology, RNA Institute, College of Life Sciences and Frontier Science Center for Immunology and Metabolism,</w:t>
      </w:r>
      <w:bookmarkEnd w:id="5"/>
      <w:r w:rsidRPr="00CD0F03">
        <w:rPr>
          <w:sz w:val="22"/>
        </w:rPr>
        <w:t xml:space="preserve"> Wuhan University, Wuhan</w:t>
      </w:r>
      <w:r>
        <w:rPr>
          <w:rFonts w:hint="eastAsia"/>
          <w:sz w:val="22"/>
        </w:rPr>
        <w:t>,</w:t>
      </w:r>
      <w:r w:rsidRPr="00CD0F03">
        <w:rPr>
          <w:sz w:val="22"/>
        </w:rPr>
        <w:t xml:space="preserve"> </w:t>
      </w:r>
      <w:r>
        <w:rPr>
          <w:rFonts w:hint="eastAsia"/>
          <w:sz w:val="22"/>
        </w:rPr>
        <w:t>430072</w:t>
      </w:r>
      <w:r w:rsidRPr="00CD0F03">
        <w:rPr>
          <w:sz w:val="22"/>
        </w:rPr>
        <w:t>, China.</w:t>
      </w:r>
    </w:p>
    <w:p w:rsidR="001B3E06" w:rsidRPr="00CD0F03" w:rsidRDefault="001B3E06" w:rsidP="001B3E06">
      <w:pPr>
        <w:adjustRightInd w:val="0"/>
        <w:snapToGrid w:val="0"/>
        <w:spacing w:line="360" w:lineRule="auto"/>
        <w:rPr>
          <w:sz w:val="22"/>
        </w:rPr>
      </w:pPr>
      <w:proofErr w:type="gramStart"/>
      <w:r w:rsidRPr="00CD0F03">
        <w:rPr>
          <w:sz w:val="22"/>
          <w:vertAlign w:val="superscript"/>
        </w:rPr>
        <w:t>b</w:t>
      </w:r>
      <w:proofErr w:type="gramEnd"/>
      <w:r w:rsidRPr="00CD0F03">
        <w:rPr>
          <w:sz w:val="22"/>
          <w:vertAlign w:val="superscript"/>
        </w:rPr>
        <w:t xml:space="preserve"> </w:t>
      </w:r>
      <w:r w:rsidRPr="00CD0F03">
        <w:rPr>
          <w:sz w:val="22"/>
        </w:rPr>
        <w:t>Animal Bio-Safety Level III Laboratory/Institute for Vaccine Research, Wuhan University School of Medicine, Wuhan</w:t>
      </w:r>
      <w:r>
        <w:rPr>
          <w:rFonts w:hint="eastAsia"/>
          <w:sz w:val="22"/>
        </w:rPr>
        <w:t>, 430071</w:t>
      </w:r>
      <w:r w:rsidRPr="00CD0F03">
        <w:rPr>
          <w:sz w:val="22"/>
        </w:rPr>
        <w:t>, China.</w:t>
      </w:r>
    </w:p>
    <w:p w:rsidR="001B3E06" w:rsidRPr="00CD0F03" w:rsidRDefault="001B3E06" w:rsidP="001B3E06">
      <w:pPr>
        <w:adjustRightInd w:val="0"/>
        <w:snapToGrid w:val="0"/>
        <w:spacing w:line="360" w:lineRule="auto"/>
        <w:rPr>
          <w:sz w:val="22"/>
        </w:rPr>
      </w:pPr>
    </w:p>
    <w:p w:rsidR="001B3E06" w:rsidRPr="00CD0F03" w:rsidRDefault="001B3E06" w:rsidP="001B3E06">
      <w:pPr>
        <w:adjustRightInd w:val="0"/>
        <w:snapToGrid w:val="0"/>
        <w:spacing w:line="360" w:lineRule="auto"/>
        <w:rPr>
          <w:sz w:val="22"/>
        </w:rPr>
      </w:pPr>
      <w:bookmarkStart w:id="6" w:name="OLE_LINK84"/>
      <w:r w:rsidRPr="00CD0F03">
        <w:rPr>
          <w:sz w:val="22"/>
          <w:vertAlign w:val="superscript"/>
        </w:rPr>
        <w:t xml:space="preserve">1 </w:t>
      </w:r>
      <w:proofErr w:type="spellStart"/>
      <w:r w:rsidRPr="00CD0F03">
        <w:rPr>
          <w:sz w:val="22"/>
        </w:rPr>
        <w:t>Jikai</w:t>
      </w:r>
      <w:proofErr w:type="spellEnd"/>
      <w:r w:rsidRPr="00CD0F03">
        <w:rPr>
          <w:sz w:val="22"/>
        </w:rPr>
        <w:t xml:space="preserve"> Deng and </w:t>
      </w:r>
      <w:proofErr w:type="spellStart"/>
      <w:r w:rsidRPr="00CD0F03">
        <w:rPr>
          <w:sz w:val="22"/>
        </w:rPr>
        <w:t>Feiyu</w:t>
      </w:r>
      <w:proofErr w:type="spellEnd"/>
      <w:r w:rsidRPr="00CD0F03">
        <w:rPr>
          <w:sz w:val="22"/>
        </w:rPr>
        <w:t xml:space="preserve"> Gong contributed equally to this work. </w:t>
      </w:r>
    </w:p>
    <w:p w:rsidR="001B3E06" w:rsidRPr="00CD0F03" w:rsidRDefault="001B3E06" w:rsidP="001B3E06">
      <w:pPr>
        <w:adjustRightInd w:val="0"/>
        <w:snapToGrid w:val="0"/>
        <w:spacing w:line="360" w:lineRule="auto"/>
        <w:rPr>
          <w:sz w:val="22"/>
        </w:rPr>
      </w:pPr>
    </w:p>
    <w:bookmarkEnd w:id="6"/>
    <w:p w:rsidR="001B3E06" w:rsidRPr="00CD0F03" w:rsidRDefault="001B3E06" w:rsidP="001B3E06">
      <w:pPr>
        <w:adjustRightInd w:val="0"/>
        <w:snapToGrid w:val="0"/>
        <w:spacing w:line="360" w:lineRule="auto"/>
        <w:rPr>
          <w:sz w:val="22"/>
        </w:rPr>
      </w:pPr>
      <w:r w:rsidRPr="00CD0F03">
        <w:rPr>
          <w:sz w:val="22"/>
        </w:rPr>
        <w:t xml:space="preserve">*Corresponding author: </w:t>
      </w:r>
    </w:p>
    <w:p w:rsidR="001B3E06" w:rsidRPr="00CD0F03" w:rsidRDefault="001B3E06" w:rsidP="001B3E06">
      <w:pPr>
        <w:adjustRightInd w:val="0"/>
        <w:snapToGrid w:val="0"/>
        <w:spacing w:line="360" w:lineRule="auto"/>
        <w:rPr>
          <w:sz w:val="22"/>
        </w:rPr>
      </w:pPr>
      <w:r w:rsidRPr="00CD0F03">
        <w:rPr>
          <w:sz w:val="22"/>
        </w:rPr>
        <w:t>Email address: chenyu@whu.edu.cn (Y. Chen)</w:t>
      </w:r>
    </w:p>
    <w:p w:rsidR="001B3E06" w:rsidRPr="00CD0F03" w:rsidRDefault="001B3E06" w:rsidP="001B3E06">
      <w:pPr>
        <w:adjustRightInd w:val="0"/>
        <w:snapToGrid w:val="0"/>
        <w:spacing w:line="360" w:lineRule="auto"/>
        <w:rPr>
          <w:sz w:val="22"/>
        </w:rPr>
      </w:pPr>
      <w:r w:rsidRPr="00CD0F03">
        <w:rPr>
          <w:sz w:val="22"/>
        </w:rPr>
        <w:t xml:space="preserve">ORCID: </w:t>
      </w:r>
      <w:r w:rsidRPr="00CF6959">
        <w:rPr>
          <w:sz w:val="22"/>
        </w:rPr>
        <w:t>0000</w:t>
      </w:r>
      <w:r>
        <w:rPr>
          <w:sz w:val="22"/>
        </w:rPr>
        <w:t>-</w:t>
      </w:r>
      <w:r w:rsidRPr="00CF6959">
        <w:rPr>
          <w:sz w:val="22"/>
        </w:rPr>
        <w:t>0004</w:t>
      </w:r>
      <w:r>
        <w:rPr>
          <w:sz w:val="22"/>
        </w:rPr>
        <w:t>-</w:t>
      </w:r>
      <w:r w:rsidRPr="00CF6959">
        <w:rPr>
          <w:sz w:val="22"/>
        </w:rPr>
        <w:t>0611</w:t>
      </w:r>
      <w:r>
        <w:rPr>
          <w:sz w:val="22"/>
        </w:rPr>
        <w:t>-</w:t>
      </w:r>
      <w:r w:rsidRPr="00CF6959">
        <w:rPr>
          <w:sz w:val="22"/>
        </w:rPr>
        <w:t>3954</w:t>
      </w:r>
    </w:p>
    <w:bookmarkEnd w:id="3"/>
    <w:bookmarkEnd w:id="4"/>
    <w:p w:rsidR="001B3E06" w:rsidRPr="00CD0F03" w:rsidRDefault="001B3E06" w:rsidP="001B3E06">
      <w:pPr>
        <w:adjustRightInd w:val="0"/>
        <w:snapToGrid w:val="0"/>
        <w:spacing w:line="360" w:lineRule="auto"/>
        <w:rPr>
          <w:sz w:val="22"/>
        </w:rPr>
      </w:pPr>
      <w:r w:rsidRPr="00CD0F03">
        <w:rPr>
          <w:sz w:val="22"/>
        </w:rPr>
        <w:br w:type="page"/>
      </w:r>
    </w:p>
    <w:p w:rsidR="001B3E06" w:rsidRDefault="001B3E06" w:rsidP="001B3E06">
      <w:pPr>
        <w:adjustRightInd w:val="0"/>
        <w:snapToGrid w:val="0"/>
        <w:spacing w:line="360" w:lineRule="auto"/>
        <w:rPr>
          <w:b/>
          <w:sz w:val="22"/>
        </w:rPr>
      </w:pPr>
      <w:r w:rsidRPr="00CD0F03">
        <w:rPr>
          <w:b/>
          <w:sz w:val="22"/>
        </w:rPr>
        <w:lastRenderedPageBreak/>
        <w:t xml:space="preserve">Supplementary </w:t>
      </w:r>
      <w:r>
        <w:rPr>
          <w:b/>
          <w:sz w:val="22"/>
        </w:rPr>
        <w:t>data</w:t>
      </w:r>
    </w:p>
    <w:p w:rsidR="001B3E06" w:rsidRPr="00CD0F03" w:rsidRDefault="001B3E06" w:rsidP="001B3E06">
      <w:pPr>
        <w:adjustRightInd w:val="0"/>
        <w:snapToGrid w:val="0"/>
        <w:spacing w:line="360" w:lineRule="auto"/>
        <w:rPr>
          <w:b/>
          <w:sz w:val="22"/>
        </w:rPr>
      </w:pPr>
      <w:r w:rsidRPr="004C6DDA">
        <w:rPr>
          <w:b/>
          <w:noProof/>
          <w:sz w:val="22"/>
        </w:rPr>
        <w:drawing>
          <wp:inline distT="0" distB="0" distL="0" distR="0" wp14:anchorId="67FCCCB9" wp14:editId="6846CFA3">
            <wp:extent cx="5039995" cy="2809240"/>
            <wp:effectExtent l="0" t="0" r="0" b="0"/>
            <wp:docPr id="7" name="图片 7" descr="C:\Users\VS\Desktop\6598-\6598 R4\Supplementary_figur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S\Desktop\6598-\6598 R4\Supplementary_figure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E06" w:rsidRPr="00CD0F03" w:rsidRDefault="001B3E06" w:rsidP="001B3E06">
      <w:pPr>
        <w:adjustRightInd w:val="0"/>
        <w:snapToGrid w:val="0"/>
        <w:spacing w:line="360" w:lineRule="auto"/>
      </w:pPr>
      <w:r w:rsidRPr="00CD0F03">
        <w:rPr>
          <w:b/>
        </w:rPr>
        <w:t xml:space="preserve">Supplementary Fig. S1. </w:t>
      </w:r>
      <w:r w:rsidRPr="00CD0F03">
        <w:t>Recombinant protein expression and purification.</w:t>
      </w:r>
      <w:r w:rsidRPr="00CD0F03">
        <w:rPr>
          <w:b/>
        </w:rPr>
        <w:t xml:space="preserve"> </w:t>
      </w:r>
      <w:proofErr w:type="gramStart"/>
      <w:r w:rsidRPr="00CD0F03">
        <w:rPr>
          <w:b/>
        </w:rPr>
        <w:t>A</w:t>
      </w:r>
      <w:r w:rsidRPr="00CD0F03">
        <w:t xml:space="preserve"> The</w:t>
      </w:r>
      <w:proofErr w:type="gramEnd"/>
      <w:r w:rsidRPr="00CD0F03">
        <w:t xml:space="preserve"> elution chromatogram (λ280, </w:t>
      </w:r>
      <w:proofErr w:type="spellStart"/>
      <w:r w:rsidRPr="00CD0F03">
        <w:t>mAU</w:t>
      </w:r>
      <w:proofErr w:type="spellEnd"/>
      <w:r w:rsidRPr="00CD0F03">
        <w:t xml:space="preserve">) of SARS-CoV-2 nsp16 (blue) or nsp10 (orange) showed a main peak. The corresponding elution column volumes of nsp16 and nsp10 were 12.86 mL and 13.36 mL, respectively. </w:t>
      </w:r>
      <w:r w:rsidRPr="00CD0F03">
        <w:rPr>
          <w:b/>
        </w:rPr>
        <w:t xml:space="preserve">B </w:t>
      </w:r>
      <w:r w:rsidRPr="00CD0F03">
        <w:t xml:space="preserve">The purified proteins were separated using SDS-PAGE and stained with </w:t>
      </w:r>
      <w:proofErr w:type="spellStart"/>
      <w:r w:rsidRPr="00CD0F03">
        <w:t>Coomassie</w:t>
      </w:r>
      <w:proofErr w:type="spellEnd"/>
      <w:r w:rsidRPr="00CD0F03">
        <w:t xml:space="preserve"> blue. MW, molecular mass markers.</w:t>
      </w:r>
    </w:p>
    <w:p w:rsidR="00B31D7F" w:rsidRPr="001B3E06" w:rsidRDefault="001B3E06" w:rsidP="001B3E06">
      <w:pPr>
        <w:adjustRightInd w:val="0"/>
        <w:snapToGrid w:val="0"/>
        <w:spacing w:line="360" w:lineRule="auto"/>
      </w:pPr>
      <w:r w:rsidRPr="004C6DDA">
        <w:rPr>
          <w:noProof/>
        </w:rPr>
        <w:lastRenderedPageBreak/>
        <w:drawing>
          <wp:inline distT="0" distB="0" distL="0" distR="0" wp14:anchorId="6D39FF1C" wp14:editId="64FCBF1E">
            <wp:extent cx="5540991" cy="6077234"/>
            <wp:effectExtent l="0" t="0" r="3175" b="0"/>
            <wp:docPr id="8" name="图片 8" descr="C:\Users\VS\Desktop\6598-\6598 R4\Supplementary_figur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S\Desktop\6598-\6598 R4\Supplementary_figure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256" cy="60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03">
        <w:rPr>
          <w:b/>
          <w:sz w:val="22"/>
        </w:rPr>
        <w:t xml:space="preserve">Supplementary Fig. S2. </w:t>
      </w:r>
      <w:r w:rsidRPr="00CD0F03">
        <w:rPr>
          <w:sz w:val="22"/>
        </w:rPr>
        <w:t xml:space="preserve">Multiple sequence alignment and structural analysis. </w:t>
      </w:r>
      <w:r w:rsidRPr="00CD0F03">
        <w:rPr>
          <w:b/>
          <w:sz w:val="22"/>
        </w:rPr>
        <w:t>A</w:t>
      </w:r>
      <w:r>
        <w:rPr>
          <w:b/>
          <w:sz w:val="22"/>
        </w:rPr>
        <w:t xml:space="preserve">, </w:t>
      </w:r>
      <w:r w:rsidRPr="00CD0F03">
        <w:rPr>
          <w:b/>
          <w:sz w:val="22"/>
        </w:rPr>
        <w:t xml:space="preserve">B </w:t>
      </w:r>
      <w:r w:rsidRPr="00CD0F03">
        <w:rPr>
          <w:sz w:val="22"/>
        </w:rPr>
        <w:t>Multiple-sequence alignment of nsp16 amino acid sequences (</w:t>
      </w:r>
      <w:r w:rsidRPr="00CD0F03">
        <w:rPr>
          <w:b/>
          <w:sz w:val="22"/>
        </w:rPr>
        <w:t>A</w:t>
      </w:r>
      <w:r w:rsidRPr="00CD0F03">
        <w:rPr>
          <w:sz w:val="22"/>
        </w:rPr>
        <w:t>) and nsp10 amino acid sequences (</w:t>
      </w:r>
      <w:r w:rsidRPr="00CD0F03">
        <w:rPr>
          <w:b/>
          <w:sz w:val="22"/>
        </w:rPr>
        <w:t>B</w:t>
      </w:r>
      <w:r w:rsidRPr="00CD0F03">
        <w:rPr>
          <w:sz w:val="22"/>
        </w:rPr>
        <w:t>) across diverse coronaviruses. The K-D-K-E catalytic tetrad was highlighted in a black box. The nsp16/nsp10 interface of SARS-CoV-2 was highlighted in a gray circle, while that of MERS-</w:t>
      </w:r>
      <w:proofErr w:type="spellStart"/>
      <w:r w:rsidRPr="00CD0F03">
        <w:rPr>
          <w:sz w:val="22"/>
        </w:rPr>
        <w:t>CoV</w:t>
      </w:r>
      <w:proofErr w:type="spellEnd"/>
      <w:r w:rsidRPr="00CD0F03">
        <w:rPr>
          <w:sz w:val="22"/>
        </w:rPr>
        <w:t xml:space="preserve"> was highlighted in a yellow circle. </w:t>
      </w:r>
      <w:r w:rsidRPr="00CD0F03">
        <w:rPr>
          <w:b/>
          <w:sz w:val="22"/>
        </w:rPr>
        <w:t xml:space="preserve">C </w:t>
      </w:r>
      <w:r w:rsidRPr="00CD0F03">
        <w:rPr>
          <w:sz w:val="22"/>
        </w:rPr>
        <w:t>Superimposition of the nsp16/nsp10 structure of SARS-CoV-2 (PDB 6WKS, cartoon, gray) onto those of MERS-</w:t>
      </w:r>
      <w:proofErr w:type="spellStart"/>
      <w:r w:rsidRPr="00CD0F03">
        <w:rPr>
          <w:sz w:val="22"/>
        </w:rPr>
        <w:t>CoV</w:t>
      </w:r>
      <w:proofErr w:type="spellEnd"/>
      <w:r w:rsidRPr="00CD0F03">
        <w:rPr>
          <w:sz w:val="22"/>
        </w:rPr>
        <w:t xml:space="preserve"> (PDB 5YN5, cartoon, yellow). </w:t>
      </w:r>
      <w:bookmarkStart w:id="7" w:name="_Hlk155901843"/>
      <w:r w:rsidRPr="00CD0F03">
        <w:rPr>
          <w:b/>
          <w:sz w:val="22"/>
        </w:rPr>
        <w:t>D</w:t>
      </w:r>
      <w:r w:rsidRPr="00D9060A">
        <w:rPr>
          <w:rFonts w:eastAsia="宋体" w:cs="Times New Roman"/>
          <w:kern w:val="0"/>
          <w:sz w:val="22"/>
        </w:rPr>
        <w:t>–</w:t>
      </w:r>
      <w:r w:rsidRPr="00CD0F03">
        <w:rPr>
          <w:b/>
          <w:sz w:val="22"/>
        </w:rPr>
        <w:t>F</w:t>
      </w:r>
      <w:r w:rsidRPr="00CD0F03">
        <w:rPr>
          <w:i/>
          <w:iCs/>
          <w:sz w:val="22"/>
        </w:rPr>
        <w:t xml:space="preserve"> </w:t>
      </w:r>
      <w:proofErr w:type="gramStart"/>
      <w:r w:rsidRPr="00CD0F03">
        <w:rPr>
          <w:sz w:val="22"/>
        </w:rPr>
        <w:t>The</w:t>
      </w:r>
      <w:proofErr w:type="gramEnd"/>
      <w:r w:rsidRPr="00CD0F03">
        <w:rPr>
          <w:sz w:val="22"/>
        </w:rPr>
        <w:t xml:space="preserve"> schematic summary of nsp16 and nsp10 residues of SARS-CoV-2 (</w:t>
      </w:r>
      <w:r w:rsidRPr="00CD0F03">
        <w:rPr>
          <w:b/>
          <w:sz w:val="22"/>
        </w:rPr>
        <w:t>D</w:t>
      </w:r>
      <w:r w:rsidRPr="00CD0F03">
        <w:rPr>
          <w:sz w:val="22"/>
        </w:rPr>
        <w:t>), MERS-</w:t>
      </w:r>
      <w:proofErr w:type="spellStart"/>
      <w:r w:rsidRPr="00CD0F03">
        <w:rPr>
          <w:sz w:val="22"/>
        </w:rPr>
        <w:t>CoV</w:t>
      </w:r>
      <w:proofErr w:type="spellEnd"/>
      <w:r w:rsidRPr="00CD0F03">
        <w:rPr>
          <w:sz w:val="22"/>
        </w:rPr>
        <w:t xml:space="preserve"> (</w:t>
      </w:r>
      <w:r w:rsidRPr="00CD0F03">
        <w:rPr>
          <w:b/>
          <w:sz w:val="22"/>
        </w:rPr>
        <w:t>E</w:t>
      </w:r>
      <w:r w:rsidRPr="00CD0F03">
        <w:rPr>
          <w:sz w:val="22"/>
        </w:rPr>
        <w:t>), and MERS-</w:t>
      </w:r>
      <w:proofErr w:type="spellStart"/>
      <w:r w:rsidRPr="00CD0F03">
        <w:rPr>
          <w:sz w:val="22"/>
        </w:rPr>
        <w:t>CoV</w:t>
      </w:r>
      <w:proofErr w:type="spellEnd"/>
      <w:r w:rsidRPr="00CD0F03">
        <w:rPr>
          <w:sz w:val="22"/>
        </w:rPr>
        <w:t>/SARS-CoV-2 (</w:t>
      </w:r>
      <w:r w:rsidRPr="00CD0F03">
        <w:rPr>
          <w:b/>
          <w:sz w:val="22"/>
        </w:rPr>
        <w:t>F</w:t>
      </w:r>
      <w:r w:rsidRPr="00CD0F03">
        <w:rPr>
          <w:sz w:val="22"/>
        </w:rPr>
        <w:t xml:space="preserve">), directly interacting within a 3.5 Å range, was presented. Distinct residues were denoted in red. </w:t>
      </w:r>
      <w:bookmarkEnd w:id="7"/>
      <w:r w:rsidRPr="00CD0F03">
        <w:rPr>
          <w:b/>
          <w:sz w:val="22"/>
        </w:rPr>
        <w:t>G</w:t>
      </w:r>
      <w:r w:rsidRPr="00CD0F03">
        <w:rPr>
          <w:sz w:val="22"/>
        </w:rPr>
        <w:t xml:space="preserve"> The overall structure of nsp16/nsp10 complex was shown as surface and cartoon with 40% transparency. Lys-46, Asp-130, Lys-170 and Glu-203 were both shown as sticks and colored in red. SAM and </w:t>
      </w:r>
      <w:r w:rsidRPr="00CD0F03">
        <w:rPr>
          <w:sz w:val="22"/>
          <w:vertAlign w:val="superscript"/>
        </w:rPr>
        <w:t>7Me</w:t>
      </w:r>
      <w:r w:rsidRPr="00CD0F03">
        <w:rPr>
          <w:sz w:val="22"/>
        </w:rPr>
        <w:t xml:space="preserve">GpppA were depicted as stick colored by atoms (C: white, H: white, N: blue, O: red, S: yellow). </w:t>
      </w:r>
      <w:bookmarkStart w:id="8" w:name="_Hlk151471010"/>
      <w:bookmarkEnd w:id="8"/>
    </w:p>
    <w:sectPr w:rsidR="00B31D7F" w:rsidRPr="001B3E06" w:rsidSect="001B3E06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6D" w:rsidRDefault="00347E6D" w:rsidP="001B3E06">
      <w:r>
        <w:separator/>
      </w:r>
    </w:p>
  </w:endnote>
  <w:endnote w:type="continuationSeparator" w:id="0">
    <w:p w:rsidR="00347E6D" w:rsidRDefault="00347E6D" w:rsidP="001B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52" w:rsidRDefault="00660E52" w:rsidP="00660E52">
    <w:pPr>
      <w:pStyle w:val="a4"/>
      <w:jc w:val="right"/>
    </w:pPr>
    <w:r>
      <w:rPr>
        <w:rFonts w:hint="eastAsia"/>
      </w:rPr>
      <w:t>w</w:t>
    </w:r>
    <w:r>
      <w:t>ww.virolsin.org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6D" w:rsidRDefault="00347E6D" w:rsidP="001B3E06">
      <w:r>
        <w:separator/>
      </w:r>
    </w:p>
  </w:footnote>
  <w:footnote w:type="continuationSeparator" w:id="0">
    <w:p w:rsidR="00347E6D" w:rsidRDefault="00347E6D" w:rsidP="001B3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Content>
      <w:p w:rsidR="00660E52" w:rsidRDefault="00660E52" w:rsidP="00660E52">
        <w:pPr>
          <w:pStyle w:val="a3"/>
          <w:pBdr>
            <w:bottom w:val="none" w:sz="0" w:space="0" w:color="auto"/>
          </w:pBdr>
          <w:jc w:val="right"/>
        </w:pPr>
        <w:r w:rsidRPr="00660E52">
          <w:rPr>
            <w:b/>
            <w:bCs/>
            <w:sz w:val="24"/>
            <w:szCs w:val="24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60E52" w:rsidRDefault="00660E52" w:rsidP="00660E5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C2"/>
    <w:rsid w:val="001A4339"/>
    <w:rsid w:val="001B3E06"/>
    <w:rsid w:val="001E7EC2"/>
    <w:rsid w:val="002860E4"/>
    <w:rsid w:val="00347E6D"/>
    <w:rsid w:val="00660E52"/>
    <w:rsid w:val="00C1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5C2934-11B7-40C9-9254-4630BF15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06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E0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1904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4</cp:revision>
  <dcterms:created xsi:type="dcterms:W3CDTF">2024-07-02T10:18:00Z</dcterms:created>
  <dcterms:modified xsi:type="dcterms:W3CDTF">2024-07-02T10:21:00Z</dcterms:modified>
</cp:coreProperties>
</file>